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FL-0079 · Environment</w:t>
      </w:r>
    </w:p>
    <w:p>
      <w:pPr>
        <w:pStyle w:val="Title"/>
      </w:pPr>
      <w:r>
        <w:t xml:space="preserve">Which Land Is a Forest after the 2023 Amendment?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The Court’s 1996 definition covered any land that is forest in fact; the amendment ties protection to government records.</w:t>
      </w:r>
    </w:p>
    <w:p>
      <w:pPr>
        <w:pStyle w:val="Guidance"/>
      </w:pPr>
      <w:r>
        <w:t xml:space="preserve">Authorities to start from. These are places to begin, listed by the editors. Read each one in the original and check the citation before you rely on it.</w:t>
      </w:r>
    </w:p>
    <w:p>
      <w:pPr>
        <w:pStyle w:val="Bullet"/>
      </w:pPr>
      <w:r>
        <w:t xml:space="preserve">•  T.N. Godavarman Thirumulpad v. Union of India, (1997) 2 SCC 267</w:t>
      </w:r>
    </w:p>
    <w:p>
      <w:pPr>
        <w:pStyle w:val="Bullet"/>
      </w:pPr>
      <w:r>
        <w:t xml:space="preserve">•  Forest (Conservation) Amendment Act, 2023</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https://fpr.iura.in/fault-lines/deemed-forests-after-2023</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