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FL-0044 · Securities</w:t>
      </w:r>
    </w:p>
    <w:p>
      <w:pPr>
        <w:pStyle w:val="Title"/>
      </w:pPr>
      <w:r>
        <w:t xml:space="preserve">Delay in Starting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No limitation period is prescribed, yet the tribunal quashes orders for inordinate delay.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Adjudicating Officer, SEBI v. Bhavesh Pabari, (2019) 5 SCC 90</w:t>
      </w:r>
    </w:p>
    <w:p>
      <w:pPr>
        <w:pStyle w:val="Bullet"/>
      </w:pPr>
      <w:r>
        <w:t xml:space="preserve">•  Securities and Exchange Board of India Act, 1992, § 15J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https://fpr.iura.in/fault-lines/delay-by-sebi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