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FL-0051 · IP</w:t>
      </w:r>
    </w:p>
    <w:p>
      <w:pPr>
        <w:pStyle w:val="Title"/>
      </w:pPr>
      <w:r>
        <w:t xml:space="preserve">Design and Passing Off in One Suit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Whether claims for design infringement and passing off can be joined; one full bench said no, a larger one said yes.</w:t>
      </w:r>
    </w:p>
    <w:p>
      <w:pPr>
        <w:pStyle w:val="Guidance"/>
      </w:pPr>
      <w:r>
        <w:t xml:space="preserve">Authorities to start from. These are places to begin, listed by the editors. Read each one in the original and check the citation before you rely on it.</w:t>
      </w:r>
    </w:p>
    <w:p>
      <w:pPr>
        <w:pStyle w:val="Bullet"/>
      </w:pPr>
      <w:r>
        <w:t xml:space="preserve">•  Mohan Lal v. Sona Paint &amp; Hardwares, 2013 SCC OnLine Del 1980</w:t>
      </w:r>
    </w:p>
    <w:p>
      <w:pPr>
        <w:pStyle w:val="Bullet"/>
      </w:pPr>
      <w:r>
        <w:t xml:space="preserve">•  Carlsberg Breweries A/S v. Som Distilleries &amp; Breweries Ltd., 2018 SCC OnLine Del 12912</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https://fpr.iura.in/fault-lines/design-and-trade-mark</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