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Meta"/>
      </w:pPr>
      <w:r>
        <w:t xml:space="preserve">FPR · Fault Line · FL-0043 · Securities</w:t>
      </w:r>
    </w:p>
    <w:p>
      <w:pPr>
        <w:pStyle w:val="Title"/>
      </w:pPr>
      <w:r>
        <w:t xml:space="preserve">Does the Adjudicating Officer Have Discretion on Penalty?</w:t>
      </w:r>
    </w:p>
    <w:p>
      <w:pPr>
        <w:pStyle w:val="Guidance"/>
      </w:pPr>
      <w:r>
        <w:t xml:space="preserve">This is the FPR writer’s kit for this entry. The grey notes tell you what goes where. Delete them, and this paragraph, before you submit.</w:t>
      </w:r>
    </w:p>
    <w:p>
      <w:pPr>
        <w:pStyle w:val="Heading1"/>
      </w:pPr>
      <w:r>
        <w:t xml:space="preserve">Thesis</w:t>
      </w:r>
    </w:p>
    <w:p>
      <w:pPr>
        <w:pStyle w:val="Guidance"/>
      </w:pPr>
      <w:r>
        <w:t xml:space="preserve">One sentence. It is set in large type at the top of your piece. If you cannot put your point in one sentence, the piece is not ready.</w:t>
      </w:r>
    </w:p>
    <w:p/>
    <w:p>
      <w:pPr>
        <w:pStyle w:val="Heading1"/>
      </w:pPr>
      <w:r>
        <w:t xml:space="preserve">Abstract</w:t>
      </w:r>
    </w:p>
    <w:p>
      <w:pPr>
        <w:pStyle w:val="Guidance"/>
      </w:pPr>
      <w:r>
        <w:t xml:space="preserve">About a hundred words: the question, how you went about it, and what you conclude.</w:t>
      </w:r>
    </w:p>
    <w:p/>
    <w:p>
      <w:pPr>
        <w:pStyle w:val="Heading1"/>
      </w:pPr>
      <w:r>
        <w:t xml:space="preserve">The question</w:t>
      </w:r>
    </w:p>
    <w:p>
      <w:pPr>
        <w:pStyle w:val="Guidance"/>
      </w:pPr>
      <w:r>
        <w:t xml:space="preserve">State the question on which the courts differ, in one sentence.</w:t>
      </w:r>
    </w:p>
    <w:p/>
    <w:p>
      <w:pPr>
        <w:pStyle w:val="Heading1"/>
      </w:pPr>
      <w:r>
        <w:t xml:space="preserve">The first answer</w:t>
      </w:r>
    </w:p>
    <w:p>
      <w:pPr>
        <w:pStyle w:val="Guidance"/>
      </w:pPr>
      <w:r>
        <w:t xml:space="preserve">The decisions that take it, and their reasons.</w:t>
      </w:r>
    </w:p>
    <w:p/>
    <w:p>
      <w:pPr>
        <w:pStyle w:val="Heading1"/>
      </w:pPr>
      <w:r>
        <w:t xml:space="preserve">The second answer</w:t>
      </w:r>
    </w:p>
    <w:p>
      <w:pPr>
        <w:pStyle w:val="Guidance"/>
      </w:pPr>
      <w:r>
        <w:t xml:space="preserve">The decisions that take the other view, and their reasons.</w:t>
      </w:r>
    </w:p>
    <w:p/>
    <w:p>
      <w:pPr>
        <w:pStyle w:val="Heading1"/>
      </w:pPr>
      <w:r>
        <w:t xml:space="preserve">Why the courts differ</w:t>
      </w:r>
    </w:p>
    <w:p>
      <w:pPr>
        <w:pStyle w:val="Guidance"/>
      </w:pPr>
      <w:r>
        <w:t xml:space="preserve">What the disagreement really turns on.</w:t>
      </w:r>
    </w:p>
    <w:p/>
    <w:p>
      <w:pPr>
        <w:pStyle w:val="Heading1"/>
      </w:pPr>
      <w:r>
        <w:t xml:space="preserve">The answer you argue</w:t>
      </w:r>
    </w:p>
    <w:p>
      <w:pPr>
        <w:pStyle w:val="Guidance"/>
      </w:pPr>
      <w:r>
        <w:t xml:space="preserve">Take a side and defend it. Another student may argue the other.</w:t>
      </w:r>
    </w:p>
    <w:p/>
    <w:p>
      <w:pPr>
        <w:pStyle w:val="Heading1"/>
      </w:pPr>
      <w:r>
        <w:t xml:space="preserve">Notes for the writer (delete before submitting)</w:t>
      </w:r>
    </w:p>
    <w:p>
      <w:pPr>
        <w:pStyle w:val="Guidance"/>
      </w:pPr>
      <w:r>
        <w:t xml:space="preserve">Scope of this entry. A mandatory minimum in one decision; discretion guided by statutory factors in the next.</w:t>
      </w:r>
    </w:p>
    <w:p>
      <w:pPr>
        <w:pStyle w:val="Guidance"/>
      </w:pPr>
      <w:r>
        <w:t xml:space="preserve">Authorities to start from. These are places to begin, listed by the editors. Read each one in the original and check the citation before you rely on it.</w:t>
      </w:r>
    </w:p>
    <w:p>
      <w:pPr>
        <w:pStyle w:val="Bullet"/>
      </w:pPr>
      <w:r>
        <w:t xml:space="preserve">•  SEBI v. Roofit Industries Ltd., (2016) 12 SCC 125</w:t>
      </w:r>
    </w:p>
    <w:p>
      <w:pPr>
        <w:pStyle w:val="Bullet"/>
      </w:pPr>
      <w:r>
        <w:t xml:space="preserve">•  Adjudicating Officer, SEBI v. Bhavesh Pabari, (2019) 5 SCC 90</w:t>
      </w:r>
    </w:p>
    <w:p>
      <w:pPr>
        <w:pStyle w:val="Guidance"/>
      </w:pPr>
      <w:r>
        <w:t xml:space="preserve">Length. At least 3,000 words, not counting footnotes.</w:t>
      </w:r>
    </w:p>
    <w:p>
      <w:pPr>
        <w:pStyle w:val="Guidance"/>
      </w:pPr>
      <w:r>
        <w:t xml:space="preserve">Citations. Bluebook, each one in a footnote (References, Insert Footnote). Cite the judgment or the statute itself, with a pinpoint, not a commentary on it.</w:t>
      </w:r>
    </w:p>
    <w:p>
      <w:pPr>
        <w:pStyle w:val="Guidance"/>
      </w:pPr>
      <w:r>
        <w:t xml:space="preserve">Your own prose. You may use AI tools to find and search sources. The writing must be yours, and you will be asked how you used any tool when you submit.</w:t>
      </w:r>
    </w:p>
    <w:p>
      <w:pPr>
        <w:pStyle w:val="Guidance"/>
      </w:pPr>
      <w:r>
        <w:t xml:space="preserve">Submit at https://fpr.iura.in/submit after claiming the entry at https://fpr.iura.in/fault-lines/discretion-in-penalty</w:t>
      </w:r>
    </w:p>
    <w:sectPr>
      <w:pgSz w:w="11906" w:h="16838"/>
      <w:pgMar w:top="1440" w:right="1440" w:bottom="1440" w:left="1440" w:header="708" w:footer="708" w:gutter="0"/>
    </w:sectPr>
  </w:body>
</w:document>
</file>

<file path=word/styles.xml><?xml version="1.0" encoding="utf-8"?>
<w:styles xmlns:w="http://schemas.openxmlformats.org/wordprocessingml/2006/main">
  <w:docDefaults>
    <w:rPrDefault>
      <w:rPr>
        <w:rFonts w:ascii="Times New Roman" w:hAnsi="Times New Roman" w:cs="Times New Roman"/>
        <w:sz w:val="24"/>
        <w:lang w:val="en-IN"/>
      </w:rPr>
    </w:rPrDefault>
    <w:pPrDefault>
      <w:pPr>
        <w:spacing w:after="160" w:line="360" w:lineRule="auto"/>
      </w:pPr>
    </w:pPrDefault>
  </w:docDefaults>
  <w:style w:type="paragraph" w:default="1" w:styleId="Normal">
    <w:name w:val="Normal"/>
  </w:style>
  <w:style w:type="paragraph" w:styleId="Title">
    <w:name w:val="Title"/>
    <w:basedOn w:val="Normal"/>
    <w:next w:val="Normal"/>
    <w:pPr>
      <w:spacing w:after="120" w:line="240" w:lineRule="auto"/>
    </w:pPr>
    <w:rPr>
      <w:sz w:val="52"/>
    </w:rPr>
  </w:style>
  <w:style w:type="paragraph" w:styleId="Heading1">
    <w:name w:val="heading 1"/>
    <w:basedOn w:val="Normal"/>
    <w:next w:val="Normal"/>
    <w:pPr>
      <w:keepNext/>
      <w:spacing w:before="360" w:after="120" w:line="240" w:lineRule="auto"/>
      <w:outlineLvl w:val="0"/>
    </w:pPr>
    <w:rPr>
      <w:b/>
      <w:sz w:val="28"/>
    </w:rPr>
  </w:style>
  <w:style w:type="paragraph" w:styleId="Meta">
    <w:name w:val="Meta"/>
    <w:basedOn w:val="Normal"/>
    <w:pPr>
      <w:spacing w:after="80" w:line="240" w:lineRule="auto"/>
    </w:pPr>
    <w:rPr>
      <w:rFonts w:ascii="Courier New" w:hAnsi="Courier New" w:cs="Courier New"/>
      <w:sz w:val="18"/>
    </w:rPr>
  </w:style>
  <w:style w:type="paragraph" w:styleId="Guidance">
    <w:name w:val="Guidance"/>
    <w:basedOn w:val="Normal"/>
    <w:pPr>
      <w:spacing w:after="120" w:line="276" w:lineRule="auto"/>
    </w:pPr>
    <w:rPr>
      <w:i/>
      <w:color w:val="7A7A7A"/>
      <w:sz w:val="22"/>
    </w:rPr>
  </w:style>
  <w:style w:type="paragraph" w:styleId="Bullet">
    <w:name w:val="Bullet"/>
    <w:basedOn w:val="Normal"/>
    <w:pPr>
      <w:spacing w:after="60" w:line="276" w:lineRule="auto"/>
      <w:ind w:left="360" w:hanging="360"/>
    </w:pPr>
    <w:rPr>
      <w:sz w:val="22"/>
    </w:rPr>
  </w:style>
</w:styles>
</file>

<file path=word/_rels/document.xml.rels><?xml version="1.0" encoding="UTF-8" standalone="yes"?>
<Relationships xmlns="http://schemas.openxmlformats.org/package/2006/relationships"><Relationship Id="rId1" Type="http://schemas.openxmlformats.org/officeDocument/2006/relationships/styles" Target="styles.xml"/></Relationships>
</file>