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FL-0004 · Constitutional</w:t>
      </w:r>
    </w:p>
    <w:p>
      <w:pPr>
        <w:pStyle w:val="Title"/>
      </w:pPr>
      <w:r>
        <w:t xml:space="preserve">Who Decides What Is Essential to a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split between judges who test essentiality themselves and those who defer to the community, now before a larger bench.</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Kantaru Rajeevaru v. Indian Young Lawyers Assn., (2020) 2 SCC 1</w:t>
      </w:r>
    </w:p>
    <w:p>
      <w:pPr>
        <w:pStyle w:val="Bullet"/>
      </w:pPr>
      <w:r>
        <w:t xml:space="preserve">•  Commr., Hindu Religious Endowments v. Sri Lakshmindra Thirtha Swamiar of Sri Shirur Mutt, AIR 1954 SC 282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https://fpr.iura.in/fault-lines/essential-practices-who-decides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