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FL-0061 · Environment</w:t>
      </w:r>
    </w:p>
    <w:p>
      <w:pPr>
        <w:pStyle w:val="Title"/>
      </w:pPr>
      <w:r>
        <w:t xml:space="preserve">Environmental Clearance after the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Called an anathema in 2020, permitted in exceptional cases in 2021 and 2022.</w:t>
      </w:r>
    </w:p>
    <w:p>
      <w:pPr>
        <w:pStyle w:val="Guidance"/>
      </w:pPr>
      <w:r>
        <w:t xml:space="preserve">Authorities to start from. These are places to begin, listed by the editors. Read each one in the original and check the citation before you rely on it.</w:t>
      </w:r>
    </w:p>
    <w:p>
      <w:pPr>
        <w:pStyle w:val="Bullet"/>
      </w:pPr>
      <w:r>
        <w:t xml:space="preserve">•  Alembic Pharmaceuticals Ltd. v. Rohit Prajapati, (2020) 17 SCC 157</w:t>
      </w:r>
    </w:p>
    <w:p>
      <w:pPr>
        <w:pStyle w:val="Bullet"/>
      </w:pPr>
      <w:r>
        <w:t xml:space="preserve">•  Electrosteel Steels Ltd. v. Union of India, (2023) 6 SCC 615</w:t>
      </w:r>
    </w:p>
    <w:p>
      <w:pPr>
        <w:pStyle w:val="Bullet"/>
      </w:pPr>
      <w:r>
        <w:t xml:space="preserve">•  Pahwa Plastics (P) Ltd. v. Dastak NGO, (2023) 12 SCC 774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https://fpr.iura.in/fault-lines/ex-post-facto-clearance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