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Fault Line · FL-0069 · Tort</w:t>
      </w:r>
    </w:p>
    <w:p>
      <w:pPr>
        <w:pStyle w:val="Title"/>
      </w:pPr>
      <w:r>
        <w:t xml:space="preserve">Is an Expert Opinion Needed before a Medical Negligence Complaint?</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w:t>
      </w:r>
    </w:p>
    <w:p>
      <w:pPr>
        <w:pStyle w:val="Guidance"/>
      </w:pPr>
      <w:r>
        <w:t xml:space="preserve">State the question on which the courts differ, in one sentence.</w:t>
      </w:r>
    </w:p>
    <w:p/>
    <w:p>
      <w:pPr>
        <w:pStyle w:val="Heading1"/>
      </w:pPr>
      <w:r>
        <w:t xml:space="preserve">The first answer</w:t>
      </w:r>
    </w:p>
    <w:p>
      <w:pPr>
        <w:pStyle w:val="Guidance"/>
      </w:pPr>
      <w:r>
        <w:t xml:space="preserve">The decisions that take it, and their reasons.</w:t>
      </w:r>
    </w:p>
    <w:p/>
    <w:p>
      <w:pPr>
        <w:pStyle w:val="Heading1"/>
      </w:pPr>
      <w:r>
        <w:t xml:space="preserve">The second answer</w:t>
      </w:r>
    </w:p>
    <w:p>
      <w:pPr>
        <w:pStyle w:val="Guidance"/>
      </w:pPr>
      <w:r>
        <w:t xml:space="preserve">The decisions that take the other view, and their reasons.</w:t>
      </w:r>
    </w:p>
    <w:p/>
    <w:p>
      <w:pPr>
        <w:pStyle w:val="Heading1"/>
      </w:pPr>
      <w:r>
        <w:t xml:space="preserve">Why the courts differ</w:t>
      </w:r>
    </w:p>
    <w:p>
      <w:pPr>
        <w:pStyle w:val="Guidance"/>
      </w:pPr>
      <w:r>
        <w:t xml:space="preserve">What the disagreement really turns on.</w:t>
      </w:r>
    </w:p>
    <w:p/>
    <w:p>
      <w:pPr>
        <w:pStyle w:val="Heading1"/>
      </w:pPr>
      <w:r>
        <w:t xml:space="preserve">The answer you argue</w:t>
      </w:r>
    </w:p>
    <w:p>
      <w:pPr>
        <w:pStyle w:val="Guidance"/>
      </w:pPr>
      <w:r>
        <w:t xml:space="preserve">Take a side and defend it. Another student may argue the other.</w:t>
      </w:r>
    </w:p>
    <w:p/>
    <w:p>
      <w:pPr>
        <w:pStyle w:val="Heading1"/>
      </w:pPr>
      <w:r>
        <w:t xml:space="preserve">Notes for the writer (delete before submitting)</w:t>
      </w:r>
    </w:p>
    <w:p>
      <w:pPr>
        <w:pStyle w:val="Guidance"/>
      </w:pPr>
      <w:r>
        <w:t xml:space="preserve">Scope of this entry. Required in every case by one bench; held contrary to the consumer law by another.</w:t>
      </w:r>
    </w:p>
    <w:p>
      <w:pPr>
        <w:pStyle w:val="Guidance"/>
      </w:pPr>
      <w:r>
        <w:t xml:space="preserve">Authorities to start from. These are places to begin, listed by the editors. Read each one in the original and check the citation before you rely on it.</w:t>
      </w:r>
    </w:p>
    <w:p>
      <w:pPr>
        <w:pStyle w:val="Bullet"/>
      </w:pPr>
      <w:r>
        <w:t xml:space="preserve">•  Martin F. D’Souza v. Mohd. Ishfaq, (2009) 3 SCC 1</w:t>
      </w:r>
    </w:p>
    <w:p>
      <w:pPr>
        <w:pStyle w:val="Bullet"/>
      </w:pPr>
      <w:r>
        <w:t xml:space="preserve">•  V. Kishan Rao v. Nikhil Super Speciality Hospital, (2010) 5 SCC 513</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https://fpr.iura.in/submit after claiming the entry at https://fpr.iura.in/fault-lines/expert-opinion-in-medical-negligence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