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FL-0056 · Tech &amp; Data</w:t>
      </w:r>
    </w:p>
    <w:p>
      <w:pPr>
        <w:pStyle w:val="Title"/>
      </w:pPr>
      <w:r>
        <w:t xml:space="preserve">A Government Fact-Check Unit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rule letting a government body flag content about itself as false: a split verdict, then struck down by a third judge.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Kunal Kamra v. Union of India (Bombay High Court, 2024)</w:t>
      </w:r>
    </w:p>
    <w:p>
      <w:pPr>
        <w:pStyle w:val="Bullet"/>
      </w:pPr>
      <w:r>
        <w:t xml:space="preserve">•  Information Technology Act, 2000, § 79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https://fpr.iura.in/fault-lines/fact-check-unit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