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FL-0065 · Private International</w:t>
      </w:r>
    </w:p>
    <w:p>
      <w:pPr>
        <w:pStyle w:val="Title"/>
      </w:pPr>
      <w:r>
        <w:t xml:space="preserve">Foreign Lawyers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 practice of law, but "fly in and fly out" advice and participation in international arbitration are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 Council of India v. A.K. Balaji, (2018) 5 SCC 379</w:t>
      </w:r>
    </w:p>
    <w:p>
      <w:pPr>
        <w:pStyle w:val="Bullet"/>
      </w:pPr>
      <w:r>
        <w:t xml:space="preserve">•  Advocates Act, 1961, §§ 29, 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https://fpr.iura.in/fault-lines/foreign-lawyers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