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FL-0028 · Labour</w:t>
      </w:r>
    </w:p>
    <w:p>
      <w:pPr>
        <w:pStyle w:val="Title"/>
      </w:pPr>
      <w:r>
        <w:t xml:space="preserve">Are Teachers "Employees" for Gratuity?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Held not to be in 2004; brought in by a retrospective amendment in 2009; and the amendment then tested.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Ahmedabad (P) Primary Teachers’ Assn. v. Administrative Officer, (2004) 1 SCC 755</w:t>
      </w:r>
    </w:p>
    <w:p>
      <w:pPr>
        <w:pStyle w:val="Bullet"/>
      </w:pPr>
      <w:r>
        <w:t xml:space="preserve">•  Birla Institute of Technology v. State of Jharkhand, (2019) 4 SCC 513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https://fpr.iura.in/fault-lines/gratuity-for-teachers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