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FL-0002 · Constitutional</w:t>
      </w:r>
    </w:p>
    <w:p>
      <w:pPr>
        <w:pStyle w:val="Title"/>
      </w:pPr>
      <w:r>
        <w:t xml:space="preserve">Fundamental Rights against Private Persons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Which rights bind non-State actors, directly or through the State’s duty to protect, after Kaushal Kishor.</w:t>
      </w:r>
    </w:p>
    <w:p>
      <w:pPr>
        <w:pStyle w:val="Guidance"/>
      </w:pPr>
      <w:r>
        <w:t xml:space="preserve">Authorities to start from. These are places to begin, listed by the editors. Read each one in the original and check the citation before you rely on it.</w:t>
      </w:r>
    </w:p>
    <w:p>
      <w:pPr>
        <w:pStyle w:val="Bullet"/>
      </w:pPr>
      <w:r>
        <w:t xml:space="preserve">•  Kaushal Kishor v. State of U.P., (2023) 4 SCC 1</w:t>
      </w:r>
    </w:p>
    <w:p>
      <w:pPr>
        <w:pStyle w:val="Bullet"/>
      </w:pPr>
      <w:r>
        <w:t xml:space="preserve">•  Zee Telefilms Ltd. v. Union of India, (2005) 4 SCC 649</w:t>
      </w:r>
    </w:p>
    <w:p>
      <w:pPr>
        <w:pStyle w:val="Bullet"/>
      </w:pPr>
      <w:r>
        <w:t xml:space="preserve">•  Vishaka v. State of Rajasthan, (1997) 6 SCC 241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https://fpr.iura.in/fault-lines/horizontal-application-of-rights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