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FL-0032 · Tax</w:t>
      </w:r>
    </w:p>
    <w:p>
      <w:pPr>
        <w:pStyle w:val="Title"/>
      </w:pPr>
      <w:r>
        <w:t xml:space="preserve">Is Input Tax Credit a Right or a Concession?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 calls it a concession subject to conditions; taxpayers argue it is integral to a tax on value added.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ALD Automotive (P) Ltd. v. CTO, (2019) 13 SCC 225</w:t>
      </w:r>
    </w:p>
    <w:p>
      <w:pPr>
        <w:pStyle w:val="Bullet"/>
      </w:pPr>
      <w:r>
        <w:t xml:space="preserve">•  Union of India v. Bharti Airtel Ltd., (2022) 4 SCC 328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https://fpr.iura.in/fault-lines/input-tax-credit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