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FL-0018 · Tech &amp; Data</w:t>
      </w:r>
    </w:p>
    <w:p>
      <w:pPr>
        <w:pStyle w:val="Title"/>
      </w:pPr>
      <w:r>
        <w:t xml:space="preserve">Marketplaces and Trade Mark Infringement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an online marketplace is an active participant and loses safe harbour: the differing Delhi High Court benches.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Christian Louboutin SAS v. Nakul Bajaj, 2018 SCC OnLine Del 12215</w:t>
      </w:r>
    </w:p>
    <w:p>
      <w:pPr>
        <w:pStyle w:val="Bullet"/>
      </w:pPr>
      <w:r>
        <w:t xml:space="preserve">•  Amazon Seller Services (P) Ltd. v. Amway India Enterprises (P) Ltd., 2020 SCC OnLine Del 454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https://fpr.iura.in/fault-lines/intermediary-liability-for-trade-marks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