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FL-0064 · International (Public)</w:t>
      </w:r>
    </w:p>
    <w:p>
      <w:pPr>
        <w:pStyle w:val="Title"/>
      </w:pPr>
      <w:r>
        <w:t xml:space="preserve">Investment Treaty Arbitration and the Arbitration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Delhi decisions hold that treaty arbitrations are not "commercial" and fall outside the Act, leaving their enforcement uncertain.</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Vodafone Group Plc, 2018 SCC OnLine Del 8842</w:t>
      </w:r>
    </w:p>
    <w:p>
      <w:pPr>
        <w:pStyle w:val="Bullet"/>
      </w:pPr>
      <w:r>
        <w:t xml:space="preserve">•  Union of India v. Khaitan Holdings (Mauritius) Ltd., 2019 SCC OnLine Del 6755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https://fpr.iura.in/fault-lines/investment-treaty-awards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