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Fault Line · FL-0012 · Arbitration</w:t>
      </w:r>
    </w:p>
    <w:p>
      <w:pPr>
        <w:pStyle w:val="Title"/>
      </w:pPr>
      <w:r>
        <w:t xml:space="preserve">Limitation for Challenging an Award</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w:t>
      </w:r>
    </w:p>
    <w:p>
      <w:pPr>
        <w:pStyle w:val="Guidance"/>
      </w:pPr>
      <w:r>
        <w:t xml:space="preserve">State the question on which the courts differ, in one sentence.</w:t>
      </w:r>
    </w:p>
    <w:p/>
    <w:p>
      <w:pPr>
        <w:pStyle w:val="Heading1"/>
      </w:pPr>
      <w:r>
        <w:t xml:space="preserve">The first answer</w:t>
      </w:r>
    </w:p>
    <w:p>
      <w:pPr>
        <w:pStyle w:val="Guidance"/>
      </w:pPr>
      <w:r>
        <w:t xml:space="preserve">The decisions that take it, and their reasons.</w:t>
      </w:r>
    </w:p>
    <w:p/>
    <w:p>
      <w:pPr>
        <w:pStyle w:val="Heading1"/>
      </w:pPr>
      <w:r>
        <w:t xml:space="preserve">The second answer</w:t>
      </w:r>
    </w:p>
    <w:p>
      <w:pPr>
        <w:pStyle w:val="Guidance"/>
      </w:pPr>
      <w:r>
        <w:t xml:space="preserve">The decisions that take the other view, and their reasons.</w:t>
      </w:r>
    </w:p>
    <w:p/>
    <w:p>
      <w:pPr>
        <w:pStyle w:val="Heading1"/>
      </w:pPr>
      <w:r>
        <w:t xml:space="preserve">Why the courts differ</w:t>
      </w:r>
    </w:p>
    <w:p>
      <w:pPr>
        <w:pStyle w:val="Guidance"/>
      </w:pPr>
      <w:r>
        <w:t xml:space="preserve">What the disagreement really turns on.</w:t>
      </w:r>
    </w:p>
    <w:p/>
    <w:p>
      <w:pPr>
        <w:pStyle w:val="Heading1"/>
      </w:pPr>
      <w:r>
        <w:t xml:space="preserve">The answer you argue</w:t>
      </w:r>
    </w:p>
    <w:p>
      <w:pPr>
        <w:pStyle w:val="Guidance"/>
      </w:pPr>
      <w:r>
        <w:t xml:space="preserve">Take a side and defend it. Another student may argue the other.</w:t>
      </w:r>
    </w:p>
    <w:p/>
    <w:p>
      <w:pPr>
        <w:pStyle w:val="Heading1"/>
      </w:pPr>
      <w:r>
        <w:t xml:space="preserve">Notes for the writer (delete before submitting)</w:t>
      </w:r>
    </w:p>
    <w:p>
      <w:pPr>
        <w:pStyle w:val="Guidance"/>
      </w:pPr>
      <w:r>
        <w:t xml:space="preserve">Scope of this entry. What can and cannot extend the three months and thirty days under section 34(3).</w:t>
      </w:r>
    </w:p>
    <w:p>
      <w:pPr>
        <w:pStyle w:val="Guidance"/>
      </w:pPr>
      <w:r>
        <w:t xml:space="preserve">Authorities to start from. These are places to begin, listed by the editors. Read each one in the original and check the citation before you rely on it.</w:t>
      </w:r>
    </w:p>
    <w:p>
      <w:pPr>
        <w:pStyle w:val="Bullet"/>
      </w:pPr>
      <w:r>
        <w:t xml:space="preserve">•  Union of India v. Popular Construction Co., (2001) 8 SCC 470</w:t>
      </w:r>
    </w:p>
    <w:p>
      <w:pPr>
        <w:pStyle w:val="Bullet"/>
      </w:pPr>
      <w:r>
        <w:t xml:space="preserve">•  Consolidated Engineering Enterprises v. Principal Secretary, Irrigation Dept., (2008) 7 SCC 169</w:t>
      </w:r>
    </w:p>
    <w:p>
      <w:pPr>
        <w:pStyle w:val="Bullet"/>
      </w:pPr>
      <w:r>
        <w:t xml:space="preserve">•  Arbitration and Conciliation Act, 1996, § 34(3)</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https://fpr.iura.in/fault-lines/limitation-and-section-34</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