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FL-0047 · Banking</w:t>
      </w:r>
    </w:p>
    <w:p>
      <w:pPr>
        <w:pStyle w:val="Title"/>
      </w:pPr>
      <w:r>
        <w:t xml:space="preserve">Limitation for Insolvency Applications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Three years from default, and whether balance sheet entries and settlement offers extend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B.K. Educational Services (P) Ltd. v. Parag Gupta &amp; Associates, (2019) 11 SCC 633</w:t>
      </w:r>
    </w:p>
    <w:p>
      <w:pPr>
        <w:pStyle w:val="Bullet"/>
      </w:pPr>
      <w:r>
        <w:t xml:space="preserve">•  Babulal Vardharji Gurjar v. Veer Gurjar Aluminium Industries (P) Ltd., (2020) 15 SCC 1</w:t>
      </w:r>
    </w:p>
    <w:p>
      <w:pPr>
        <w:pStyle w:val="Bullet"/>
      </w:pPr>
      <w:r>
        <w:t xml:space="preserve">•  Dena Bank v. C. Shivakumar Reddy, (2021) 10 SCC 330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https://fpr.iura.in/fault-lines/limitation-in-insolvency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