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FL-0021 · Family</w:t>
      </w:r>
    </w:p>
    <w:p>
      <w:pPr>
        <w:pStyle w:val="Title"/>
      </w:pPr>
      <w:r>
        <w:t xml:space="preserve">Maintenance for a Woman in a Void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woman deceived into marrying an already married man: denied maintenance as not a "wife" in one case, granted it in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Savitaben Somabhai Bhatiya v. State of Gujarat, (2005) 3 SCC 636</w:t>
      </w:r>
    </w:p>
    <w:p>
      <w:pPr>
        <w:pStyle w:val="Bullet"/>
      </w:pPr>
      <w:r>
        <w:t xml:space="preserve">•  Badshah v. Urmila Badshah Godse, (2014) 1 SCC 188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https://fpr.iura.in/fault-lines/maintenance-for-second-wife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