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FL-0011 · Criminal</w:t>
      </w:r>
    </w:p>
    <w:p>
      <w:pPr>
        <w:pStyle w:val="Title"/>
      </w:pPr>
      <w:r>
        <w:t xml:space="preserve">The Marital Rape Exception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A split verdict in Delhi, a contrary view in Karnataka, and a partial reading down for minors.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Independent Thought v. Union of India, (2017) 10 SCC 800</w:t>
      </w:r>
    </w:p>
    <w:p>
      <w:pPr>
        <w:pStyle w:val="Bullet"/>
      </w:pPr>
      <w:r>
        <w:t xml:space="preserve">•  RIT Foundation v. Union of India, 2022 SCC OnLine Del 1404</w:t>
      </w:r>
    </w:p>
    <w:p>
      <w:pPr>
        <w:pStyle w:val="Bullet"/>
      </w:pPr>
      <w:r>
        <w:t xml:space="preserve">•  Indian Penal Code, 1860, § 375, Exception 2</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https://fpr.iura.in/fault-lines/marital-rape-exception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