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FL-0025 · Family</w:t>
      </w:r>
    </w:p>
    <w:p>
      <w:pPr>
        <w:pStyle w:val="Title"/>
      </w:pPr>
      <w:r>
        <w:t xml:space="preserve">The Mother as Natural Guardian</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statute says the father and "after him" the mother. The Court read "after" as "in the absence of"; the text remains.</w:t>
      </w:r>
    </w:p>
    <w:p>
      <w:pPr>
        <w:pStyle w:val="Guidance"/>
      </w:pPr>
      <w:r>
        <w:t xml:space="preserve">Authorities to start from. These are places to begin, listed by the editors. Read each one in the original and check the citation before you rely on it.</w:t>
      </w:r>
    </w:p>
    <w:p>
      <w:pPr>
        <w:pStyle w:val="Bullet"/>
      </w:pPr>
      <w:r>
        <w:t xml:space="preserve">•  Hindu Minority and Guardianship Act, 1956, § 6(a)</w:t>
      </w:r>
    </w:p>
    <w:p>
      <w:pPr>
        <w:pStyle w:val="Bullet"/>
      </w:pPr>
      <w:r>
        <w:t xml:space="preserve">•  Githa Hariharan v. RBI, (1999) 2 SCC 228</w:t>
      </w:r>
    </w:p>
    <w:p>
      <w:pPr>
        <w:pStyle w:val="Bullet"/>
      </w:pPr>
      <w:r>
        <w:t xml:space="preserve">•  ABC v. State (NCT of Delhi), (2015) 10 SCC 1</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https://fpr.iura.in/fault-lines/mother-as-natural-guardian</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