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FL-0022 · Family</w:t>
      </w:r>
    </w:p>
    <w:p>
      <w:pPr>
        <w:pStyle w:val="Title"/>
      </w:pPr>
      <w:r>
        <w:t xml:space="preserve">Divorced Muslim Women and Section 125</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the 1986 Act excludes the general maintenance provision, or the two remedies coexist.</w:t>
      </w:r>
    </w:p>
    <w:p>
      <w:pPr>
        <w:pStyle w:val="Guidance"/>
      </w:pPr>
      <w:r>
        <w:t xml:space="preserve">Authorities to start from. These are places to begin, listed by the editors. Read each one in the original and check the citation before you rely on it.</w:t>
      </w:r>
    </w:p>
    <w:p>
      <w:pPr>
        <w:pStyle w:val="Bullet"/>
      </w:pPr>
      <w:r>
        <w:t xml:space="preserve">•  Danial Latifi v. Union of India, (2001) 7 SCC 740</w:t>
      </w:r>
    </w:p>
    <w:p>
      <w:pPr>
        <w:pStyle w:val="Bullet"/>
      </w:pPr>
      <w:r>
        <w:t xml:space="preserve">•  Mohd. Abdul Samad v. State of Telangana (Supreme Court of India, 10 July 2024)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https://fpr.iura.in/fault-lines/muslim-women-and-section-125</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