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FL-0016 · Contract</w:t>
      </w:r>
    </w:p>
    <w:p>
      <w:pPr>
        <w:pStyle w:val="Title"/>
      </w:pPr>
      <w:r>
        <w:t xml:space="preserve">Post-Employment Non-Compete Clauses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Void under section 27, yet garden leave, confidentiality and non-solicitation clauses are enforced. Where High Courts draw the line.</w:t>
      </w:r>
    </w:p>
    <w:p>
      <w:pPr>
        <w:pStyle w:val="Guidance"/>
      </w:pPr>
      <w:r>
        <w:t xml:space="preserve">Authorities to start from. These are places to begin, listed by the editors. Read each one in the original and check the citation before you rely on it.</w:t>
      </w:r>
    </w:p>
    <w:p>
      <w:pPr>
        <w:pStyle w:val="Bullet"/>
      </w:pPr>
      <w:r>
        <w:t xml:space="preserve">•  Superintendence Co. of India (P) Ltd. v. Krishan Murgai, (1981) 2 SCC 246</w:t>
      </w:r>
    </w:p>
    <w:p>
      <w:pPr>
        <w:pStyle w:val="Bullet"/>
      </w:pPr>
      <w:r>
        <w:t xml:space="preserve">•  Percept D’Mark (India) (P) Ltd. v. Zaheer Khan, (2006) 4 SCC 227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https://fpr.iura.in/fault-lines/non-compete-after-employment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