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FL-0003 · Family</w:t>
      </w:r>
    </w:p>
    <w:p>
      <w:pPr>
        <w:pStyle w:val="Title"/>
      </w:pPr>
      <w:r>
        <w:t xml:space="preserve">Is Personal Law "Law" under Article 13?</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Narasu Appa Mali has never been overruled, yet courts test personal law against Part III. The unresolved disagreement.</w:t>
      </w:r>
    </w:p>
    <w:p>
      <w:pPr>
        <w:pStyle w:val="Guidance"/>
      </w:pPr>
      <w:r>
        <w:t xml:space="preserve">Authorities to start from. These are places to begin, listed by the editors. Read each one in the original and check the citation before you rely on it.</w:t>
      </w:r>
    </w:p>
    <w:p>
      <w:pPr>
        <w:pStyle w:val="Bullet"/>
      </w:pPr>
      <w:r>
        <w:t xml:space="preserve">•  State of Bombay v. Narasu Appa Mali, AIR 1952 Bom 84</w:t>
      </w:r>
    </w:p>
    <w:p>
      <w:pPr>
        <w:pStyle w:val="Bullet"/>
      </w:pPr>
      <w:r>
        <w:t xml:space="preserve">•  Shayara Bano v. Union of India, (2017) 9 SCC 1</w:t>
      </w:r>
    </w:p>
    <w:p>
      <w:pPr>
        <w:pStyle w:val="Bullet"/>
      </w:pPr>
      <w:r>
        <w:t xml:space="preserve">•  Indian Young Lawyers Assn. v. State of Kerala, (2019) 11 SCC 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https://fpr.iura.in/fault-lines/personal-law-and-part-iii</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