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FL-0041 · Competition</w:t>
      </w:r>
    </w:p>
    <w:p>
      <w:pPr>
        <w:pStyle w:val="Title"/>
      </w:pPr>
      <w:r>
        <w:t xml:space="preserve">Platforms That Compete with Their Sellers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App store billing, search ranking and marketplace private labels under the abuse of dominance provision.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Google LLC v. CCI, 2023 SCC OnLine NCLAT 147</w:t>
      </w:r>
    </w:p>
    <w:p>
      <w:pPr>
        <w:pStyle w:val="Bullet"/>
      </w:pPr>
      <w:r>
        <w:t xml:space="preserve">•  Competition Act, 2002, § 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https://fpr.iura.in/fault-lines/platforms-and-self-preferencing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