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FL-0007 · Criminal</w:t>
      </w:r>
    </w:p>
    <w:p>
      <w:pPr>
        <w:pStyle w:val="Title"/>
      </w:pPr>
      <w:r>
        <w:t xml:space="preserve">Arrest and Bail under the Money Laundering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The twin conditions struck down, re-enacted and upheld; and later benches reading the arrest power narrowly.</w:t>
      </w:r>
    </w:p>
    <w:p>
      <w:pPr>
        <w:pStyle w:val="Guidance"/>
      </w:pPr>
      <w:r>
        <w:t xml:space="preserve">Authorities to start from. These are places to begin, listed by the editors. Read each one in the original and check the citation before you rely on it.</w:t>
      </w:r>
    </w:p>
    <w:p>
      <w:pPr>
        <w:pStyle w:val="Bullet"/>
      </w:pPr>
      <w:r>
        <w:t xml:space="preserve">•  Nikesh Tarachand Shah v. Union of India, (2018) 11 SCC 1</w:t>
      </w:r>
    </w:p>
    <w:p>
      <w:pPr>
        <w:pStyle w:val="Bullet"/>
      </w:pPr>
      <w:r>
        <w:t xml:space="preserve">•  Vijay Madanlal Choudhary v. Union of India, 2022 SCC OnLine SC 929</w:t>
      </w:r>
    </w:p>
    <w:p>
      <w:pPr>
        <w:pStyle w:val="Bullet"/>
      </w:pPr>
      <w:r>
        <w:t xml:space="preserve">•  Pankaj Bansal v. Union of India, (2024) 7 SCC 576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https://fpr.iura.in/fault-lines/pmla-arrest-and-bail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