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FL-0082 · Property</w:t>
      </w:r>
    </w:p>
    <w:p>
      <w:pPr>
        <w:pStyle w:val="Title"/>
      </w:pPr>
      <w:r>
        <w:t xml:space="preserve">Sales by Power of Attorney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Court held that such sales transfer no title; what the buyer in possession still holds is argued case by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Suraj Lamp &amp; Industries (P) Ltd. v. State of Haryana, (2012) 1 SCC 656</w:t>
      </w:r>
    </w:p>
    <w:p>
      <w:pPr>
        <w:pStyle w:val="Bullet"/>
      </w:pPr>
      <w:r>
        <w:t xml:space="preserve">•  Transfer of Property Act, 1882, §§ 53A, 54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https://fpr.iura.in/fault-lines/power-of-attorney-sales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