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FL-0075 · Civil Procedure</w:t>
      </w:r>
    </w:p>
    <w:p>
      <w:pPr>
        <w:pStyle w:val="Title"/>
      </w:pPr>
      <w:r>
        <w:t xml:space="preserve">Is Pre-Suit Mediation Mandatory?</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A commercial suit filed without mediation is to be rejected, unless it "contemplates urgent relief"; courts differ on who decides that.</w:t>
      </w:r>
    </w:p>
    <w:p>
      <w:pPr>
        <w:pStyle w:val="Guidance"/>
      </w:pPr>
      <w:r>
        <w:t xml:space="preserve">Authorities to start from. These are places to begin, listed by the editors. Read each one in the original and check the citation before you rely on it.</w:t>
      </w:r>
    </w:p>
    <w:p>
      <w:pPr>
        <w:pStyle w:val="Bullet"/>
      </w:pPr>
      <w:r>
        <w:t xml:space="preserve">•  Commercial Courts Act, 2015, § 12A</w:t>
      </w:r>
    </w:p>
    <w:p>
      <w:pPr>
        <w:pStyle w:val="Bullet"/>
      </w:pPr>
      <w:r>
        <w:t xml:space="preserve">•  Patil Automation (P) Ltd. v. Rakheja Engineers (P) Ltd., (2022)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https://fpr.iura.in/fault-lines/pre-suit-mediation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