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FL-0033 · Tax</w:t>
      </w:r>
    </w:p>
    <w:p>
      <w:pPr>
        <w:pStyle w:val="Title"/>
      </w:pPr>
      <w:r>
        <w:t xml:space="preserve">Reassessment Notices after the 2021 Amendment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Tens of thousands of notices issued under the repealed procedure, quashed by High Courts and then saved by the Supreme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Ashish Agarwal, (2023) 1 SCC 617</w:t>
      </w:r>
    </w:p>
    <w:p>
      <w:pPr>
        <w:pStyle w:val="Bullet"/>
      </w:pPr>
      <w:r>
        <w:t xml:space="preserve">•  Income-tax Act, 1961, §§ 148–149 (as amended by Finance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https://fpr.iura.in/fault-lines/reassessment-after-2021</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