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FL-0057 · Tech &amp; Data</w:t>
      </w:r>
    </w:p>
    <w:p>
      <w:pPr>
        <w:pStyle w:val="Title"/>
      </w:pPr>
      <w:r>
        <w:t xml:space="preserve">Removing Names from Online Judgments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Some High Courts order names masked or links removed; others hold that court records are public.</w:t>
      </w:r>
    </w:p>
    <w:p>
      <w:pPr>
        <w:pStyle w:val="Guidance"/>
      </w:pPr>
      <w:r>
        <w:t xml:space="preserve">Authorities to start from. These are places to begin, listed by the editors. Read each one in the original and check the citation before you rely on it.</w:t>
      </w:r>
    </w:p>
    <w:p>
      <w:pPr>
        <w:pStyle w:val="Bullet"/>
      </w:pPr>
      <w:r>
        <w:t xml:space="preserve">•  Dharamraj Bhanushankar Dave v. State of Gujarat, 2017 SCC OnLine Guj 2493</w:t>
      </w:r>
    </w:p>
    <w:p>
      <w:pPr>
        <w:pStyle w:val="Bullet"/>
      </w:pPr>
      <w:r>
        <w:t xml:space="preserve">•  Sri Vasunathan v. Registrar General, 2017 SCC OnLine Kar 424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https://fpr.iura.in/fault-lines/right-to-be-forgotten-in-high-courts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