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FL-0076 · Administrative</w:t>
      </w:r>
    </w:p>
    <w:p>
      <w:pPr>
        <w:pStyle w:val="Title"/>
      </w:pPr>
      <w:r>
        <w:t xml:space="preserve">The Right to Information against Privacy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When personal information held by a public authority must be disclosed, and what the data protection law changed.</w:t>
      </w:r>
    </w:p>
    <w:p>
      <w:pPr>
        <w:pStyle w:val="Guidance"/>
      </w:pPr>
      <w:r>
        <w:t xml:space="preserve">Authorities to start from. These are places to begin, listed by the editors. Read each one in the original and check the citation before you rely on it.</w:t>
      </w:r>
    </w:p>
    <w:p>
      <w:pPr>
        <w:pStyle w:val="Bullet"/>
      </w:pPr>
      <w:r>
        <w:t xml:space="preserve">•  Right to Information Act, 2005, § 8(1)(j)</w:t>
      </w:r>
    </w:p>
    <w:p>
      <w:pPr>
        <w:pStyle w:val="Bullet"/>
      </w:pPr>
      <w:r>
        <w:t xml:space="preserve">•  Digital Personal Data Protection Act, 2023, § 44(3)</w:t>
      </w:r>
    </w:p>
    <w:p>
      <w:pPr>
        <w:pStyle w:val="Bullet"/>
      </w:pPr>
      <w:r>
        <w:t xml:space="preserve">•  Central Public Information Officer, Supreme Court of India v. Subhash Chandra Agarwal, (2020) 5 SCC 481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https://fpr.iura.in/fault-lines/right-to-information-and-privacy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