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FL-0037 · Tax</w:t>
      </w:r>
    </w:p>
    <w:p>
      <w:pPr>
        <w:pStyle w:val="Title"/>
      </w:pPr>
      <w:r>
        <w:t xml:space="preserve">GST on Mining Royalty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If royalty is not a tax, is it consideration for a service on which GST is payable?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Mineral Area Development Authority v. Steel Authority of India (Supreme Court of India, 25 July 2024)</w:t>
      </w:r>
    </w:p>
    <w:p>
      <w:pPr>
        <w:pStyle w:val="Bullet"/>
      </w:pPr>
      <w:r>
        <w:t xml:space="preserve">•  Central Goods and Services Tax Act, 2017, § 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https://fpr.iura.in/fault-lines/royalty-and-gst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