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FL-0020 · Tax</w:t>
      </w:r>
    </w:p>
    <w:p>
      <w:pPr>
        <w:pStyle w:val="Title"/>
      </w:pPr>
      <w:r>
        <w:t xml:space="preserve">Royalty: Tax or Not?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royalty on minerals is a tax, and what that means for the States’ power to tax mineral rights.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Cement Ltd. v. State of T.N., (1990) 1 SCC 12</w:t>
      </w:r>
    </w:p>
    <w:p>
      <w:pPr>
        <w:pStyle w:val="Bullet"/>
      </w:pPr>
      <w:r>
        <w:t xml:space="preserve">•  State of W.B. v. Kesoram Industries Ltd., (2004) 10 SCC 201</w:t>
      </w:r>
    </w:p>
    <w:p>
      <w:pPr>
        <w:pStyle w:val="Bullet"/>
      </w:pPr>
      <w:r>
        <w:t xml:space="preserve">•  Mineral Area Development Authority v. Steel Authority of India (Supreme Court of India, 25 July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https://fpr.iura.in/fault-lines/royalty-as-tax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