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FL-0010 · Criminal</w:t>
      </w:r>
    </w:p>
    <w:p>
      <w:pPr>
        <w:pStyle w:val="Title"/>
      </w:pPr>
      <w:r>
        <w:t xml:space="preserve">Sanction to Prosecute Public Servants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sanction is needed after the official has left office or changed posts, and at what stage its absence can be raised.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R.S. Nayak v. A.R. Antulay, (1984) 2 SCC 183</w:t>
      </w:r>
    </w:p>
    <w:p>
      <w:pPr>
        <w:pStyle w:val="Bullet"/>
      </w:pPr>
      <w:r>
        <w:t xml:space="preserve">•  Prakash Singh Badal v. State of Punjab, (2007) 1 SCC 1</w:t>
      </w:r>
    </w:p>
    <w:p>
      <w:pPr>
        <w:pStyle w:val="Bullet"/>
      </w:pPr>
      <w:r>
        <w:t xml:space="preserve">•  Code of Criminal Procedure, 1973, § 197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https://fpr.iura.in/fault-lines/sanction-for-prosecution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