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FL-0034 · Tax</w:t>
      </w:r>
    </w:p>
    <w:p>
      <w:pPr>
        <w:pStyle w:val="Title"/>
      </w:pPr>
      <w:r>
        <w:t xml:space="preserve">Seconded Employees and Service Tax</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an overseas group company that seconds staff to India is supplying manpower, and the GST demands that followed.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CCE v. Northern Operating Systems (P) Ltd., (2022) 17 SCC 90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https://fpr.iura.in/fault-lines/secondment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