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FL-0077 · Human Rights</w:t>
      </w:r>
    </w:p>
    <w:p>
      <w:pPr>
        <w:pStyle w:val="Title"/>
      </w:pPr>
      <w:r>
        <w:t xml:space="preserve">State Laws against Religious Conversion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1977 ruling upheld laws against forced conversion; newer laws that require notice and cover marriage are under challenge.</w:t>
      </w:r>
    </w:p>
    <w:p>
      <w:pPr>
        <w:pStyle w:val="Guidance"/>
      </w:pPr>
      <w:r>
        <w:t xml:space="preserve">Authorities to start from. These are places to begin, listed by the editors. Read each one in the original and check the citation before you rely on it.</w:t>
      </w:r>
    </w:p>
    <w:p>
      <w:pPr>
        <w:pStyle w:val="Bullet"/>
      </w:pPr>
      <w:r>
        <w:t xml:space="preserve">•  Rev. Stainislaus v. State of Madhya Pradesh, (1977) 1 SCC 677</w:t>
      </w:r>
    </w:p>
    <w:p>
      <w:pPr>
        <w:pStyle w:val="Bullet"/>
      </w:pPr>
      <w:r>
        <w:t xml:space="preserve">•  Uttar Pradesh Prohibition of Unlawful Conversion of Religion Act, 2021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https://fpr.iura.in/fault-lines/state-laws-against-conversion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