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FL-0017 · Banking</w:t>
      </w:r>
    </w:p>
    <w:p>
      <w:pPr>
        <w:pStyle w:val="Title"/>
      </w:pPr>
      <w:r>
        <w:t xml:space="preserve">Statutory Dues and Secured Creditors under the Insolvency Code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State is a secured creditor for tax dues in a resolution plan: Rainbow Papers and the benches that confined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Tax Officer v. Rainbow Papers Ltd., (2023) 9 SCC 545</w:t>
      </w:r>
    </w:p>
    <w:p>
      <w:pPr>
        <w:pStyle w:val="Bullet"/>
      </w:pPr>
      <w:r>
        <w:t xml:space="preserve">•  Paschimanchal Vidyut Vitran Nigam Ltd. v. Raman Ispat (P) Ltd., (2023) 10 SCC 60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https://fpr.iura.in/fault-lines/statutory-dues-under-ibc</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