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FL-0049 · Banking</w:t>
      </w:r>
    </w:p>
    <w:p>
      <w:pPr>
        <w:pStyle w:val="Title"/>
      </w:pPr>
      <w:r>
        <w:t xml:space="preserve">Tenants against Secured Creditors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 tenant of mortgaged property can resist possession by a bank under the securitisation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Harshad Govardhan Sondagar v. International Assets Reconstruction Co. Ltd., (2014) 6 SCC 1</w:t>
      </w:r>
    </w:p>
    <w:p>
      <w:pPr>
        <w:pStyle w:val="Bullet"/>
      </w:pPr>
      <w:r>
        <w:t xml:space="preserve">•  Bajarang Shyamsunder Agarwal v. Central Bank of India, (2019) 9 SCC 94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https://fpr.iura.in/fault-lines/tenants-and-secured-creditors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