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FC-0074 · Family</w:t>
      </w:r>
    </w:p>
    <w:p>
      <w:pPr>
        <w:pStyle w:val="Title"/>
      </w:pPr>
      <w:r>
        <w:t xml:space="preserve">Acknowledgment of Paternity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Muslim law rule by which a man’s acknowledgment of a child as his own establishes legitimacy where the marriage is uncertain.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Muhammad Allahdad Khan v. Muhammad Ismail Khan, ILR (1888) 10 All 289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https://fpr.iura.in/fictions/acknowledgment-of-paternity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