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FC-0068 · Civil Procedure</w:t>
      </w:r>
    </w:p>
    <w:p>
      <w:pPr>
        <w:pStyle w:val="Title"/>
      </w:pPr>
      <w:r>
        <w:t xml:space="preserve">Action in Rem against a 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admiralty procedure in which the ship itself is treated as the defendant and may be arrested to answer the claim.</w:t>
      </w:r>
    </w:p>
    <w:p>
      <w:pPr>
        <w:pStyle w:val="Guidance"/>
      </w:pPr>
      <w:r>
        <w:t xml:space="preserve">Authorities to start from. These are places to begin, listed by the editors. Read each one in the original and check the citation before you rely on it.</w:t>
      </w:r>
    </w:p>
    <w:p>
      <w:pPr>
        <w:pStyle w:val="Bullet"/>
      </w:pPr>
      <w:r>
        <w:t xml:space="preserve">•  M.V. Elisabeth v. Harwan Investment &amp; Trading (P) Ltd., 1993 Supp (2) SCC 433</w:t>
      </w:r>
    </w:p>
    <w:p>
      <w:pPr>
        <w:pStyle w:val="Bullet"/>
      </w:pPr>
      <w:r>
        <w:t xml:space="preserve">•  Admiralty (Jurisdiction and Settlement of Maritime Claims) Act, 2017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https://fpr.iura.in/fictions/action-in-rem-against-a-ship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