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FC-0107 · Tax</w:t>
      </w:r>
    </w:p>
    <w:p>
      <w:pPr>
        <w:pStyle w:val="Title"/>
      </w:pPr>
      <w:r>
        <w:t xml:space="preserve">Assessee in Default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treatment of a person who fails to deduct or pay tax at source as if the tax were their own unpaid liability.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201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https://fpr.iura.in/fictions/assessee-in-default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