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FC-0039 · Criminal</w:t>
      </w:r>
    </w:p>
    <w:p>
      <w:pPr>
        <w:pStyle w:val="Title"/>
      </w:pPr>
      <w:r>
        <w:t xml:space="preserve">The Child Incapable of Crime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child under seven is conclusively taken to be unable to commit an offence, whatever the child understood.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82, 83 (now Bharatiya Nyaya Sanhita, 2023, §§ 20, 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https://fpr.iura.in/fictions/child-incapable-of-crime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