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FC-0013 · Evidence</w:t>
      </w:r>
    </w:p>
    <w:p>
      <w:pPr>
        <w:pStyle w:val="Title"/>
      </w:pPr>
      <w:r>
        <w:t xml:space="preserve">Conclusive Proof of Legitimacy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Birth during a valid marriage as conclusive proof of legitimacy, and its collision with DNA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112</w:t>
      </w:r>
    </w:p>
    <w:p>
      <w:pPr>
        <w:pStyle w:val="Bullet"/>
      </w:pPr>
      <w:r>
        <w:t xml:space="preserve">•  Goutam Kundu v. State of W.B., (1993) 3 SCC 418</w:t>
      </w:r>
    </w:p>
    <w:p>
      <w:pPr>
        <w:pStyle w:val="Bullet"/>
      </w:pPr>
      <w:r>
        <w:t xml:space="preserve">•  Nandlal Wasudeo Badwaik v. Lata Nandlal Badwaik, (2014) 2 SCC 576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https://fpr.iura.in/fictions/conclusive-proof-of-legitimacy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