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FC-0030 · Securities</w:t>
      </w:r>
    </w:p>
    <w:p>
      <w:pPr>
        <w:pStyle w:val="Title"/>
      </w:pPr>
      <w:r>
        <w:t xml:space="preserve">The Connected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Relatives, associates and others deemed to have access to inside information, and how the presumption is rebutted.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 2(1)(d)</w:t>
      </w:r>
    </w:p>
    <w:p>
      <w:pPr>
        <w:pStyle w:val="Bullet"/>
      </w:pPr>
      <w:r>
        <w:t xml:space="preserve">•  Balram Garg v. SEBI, (2022) 9 SCC 425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https://fpr.iura.in/fictions/connected-person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