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FC-0006 · Property</w:t>
      </w:r>
    </w:p>
    <w:p>
      <w:pPr>
        <w:pStyle w:val="Title"/>
      </w:pPr>
      <w:r>
        <w:t xml:space="preserve">Constructive Notice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Knowledge the law attributes to a person who would have known but for wilful abstention or gross negligence.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3</w:t>
      </w:r>
    </w:p>
    <w:p>
      <w:pPr>
        <w:pStyle w:val="Bullet"/>
      </w:pPr>
      <w:r>
        <w:t xml:space="preserve">•  Ram Niwas v. Bano, (2000) 6 SCC 685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https://fpr.iura.in/fictions/constructive-notice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