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FC-0034 · Property</w:t>
      </w:r>
    </w:p>
    <w:p>
      <w:pPr>
        <w:pStyle w:val="Title"/>
      </w:pPr>
      <w:r>
        <w:t xml:space="preserve">Constructive Possession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Possession through another, or of a whole by possessing a part, and its use in suits and in criminal statutes.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53A</w:t>
      </w:r>
    </w:p>
    <w:p>
      <w:pPr>
        <w:pStyle w:val="Bullet"/>
      </w:pPr>
      <w:r>
        <w:t xml:space="preserve">•  Mohan Lal v. State of Rajasthan, (2015) 6 SCC 222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https://fpr.iura.in/fictions/constructive-possession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