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FC-0007 · Civil Procedure</w:t>
      </w:r>
    </w:p>
    <w:p>
      <w:pPr>
        <w:pStyle w:val="Title"/>
      </w:pPr>
      <w:r>
        <w:t xml:space="preserve">Constructive Res Judicata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ground that might and ought to have been raised is deemed to have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 Explanation IV</w:t>
      </w:r>
    </w:p>
    <w:p>
      <w:pPr>
        <w:pStyle w:val="Bullet"/>
      </w:pPr>
      <w:r>
        <w:t xml:space="preserve">•  State of U.P. v. Nawab Hussain, (1977) 2 SCC 806</w:t>
      </w:r>
    </w:p>
    <w:p>
      <w:pPr>
        <w:pStyle w:val="Bullet"/>
      </w:pPr>
      <w:r>
        <w:t xml:space="preserve">•  Forward Construction Co. v. Prabhat Mandal, (1986) 1 SCC 100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https://fpr.iura.in/fictions/constructive-res-judicata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