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FC-0002 · Corporate</w:t>
      </w:r>
    </w:p>
    <w:p>
      <w:pPr>
        <w:pStyle w:val="Title"/>
      </w:pPr>
      <w:r>
        <w:t xml:space="preserve">The Company as a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fiction that a company is a person: what rights it can hold, including whether it is a "citizen" for Article 19.</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Trading Corpn. of India Ltd. v. CTO, AIR 1963 SC 1811</w:t>
      </w:r>
    </w:p>
    <w:p>
      <w:pPr>
        <w:pStyle w:val="Bullet"/>
      </w:pPr>
      <w:r>
        <w:t xml:space="preserve">•  R.C. Cooper v. Union of India, (1970) 1 SCC 248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https://fpr.iura.in/fictions/corporate-personality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