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FC-0026 · Tax</w:t>
      </w:r>
    </w:p>
    <w:p>
      <w:pPr>
        <w:pStyle w:val="Title"/>
      </w:pPr>
      <w:r>
        <w:t xml:space="preserve">Unexplained Money as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Cash credits, investments and expenditure the assessee cannot explain are deemed to be his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68–69D</w:t>
      </w:r>
    </w:p>
    <w:p>
      <w:pPr>
        <w:pStyle w:val="Bullet"/>
      </w:pPr>
      <w:r>
        <w:t xml:space="preserve">•  CIT v. P. Mohanakala, (2007) 6 SCC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