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FC-0070 · Property</w:t>
      </w:r>
    </w:p>
    <w:p>
      <w:pPr>
        <w:pStyle w:val="Title"/>
      </w:pPr>
      <w:r>
        <w:t xml:space="preserve">Deemed Lapse of Land Acquisition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treating an old acquisition as lapsed where possession was not taken and compensation not paid, as finally read in 2020.</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Fair Compensation and Transparency in Land Acquisition, Rehabilitation and Resettlement Act, 2013, § 24</w:t>
      </w:r>
    </w:p>
    <w:p>
      <w:pPr>
        <w:pStyle w:val="Bullet"/>
      </w:pPr>
      <w:r>
        <w:t xml:space="preserve">•  Indore Development Authority v. Manoharlal, (2020) 8 SCC 129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https://fpr.iura.in/fictions/deemed-lapse-of-land-acquisition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