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FC-0112 · Tax</w:t>
      </w:r>
    </w:p>
    <w:p>
      <w:pPr>
        <w:pStyle w:val="Title"/>
      </w:pPr>
      <w:r>
        <w:t xml:space="preserve">Deemed Manufacture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Processes such as packing and labelling that the statute treats as manufacture though no new article results.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Excise Act, 1944, § 2(f)</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https://fpr.iura.in/fictions/deemed-manufacture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