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FC-0009 · Tax</w:t>
      </w:r>
    </w:p>
    <w:p>
      <w:pPr>
        <w:pStyle w:val="Title"/>
      </w:pPr>
      <w:r>
        <w:t xml:space="preserve">The Deemed Owner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Persons taxed as owners of house property without legal title, and the test of entitlement to receive income.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27</w:t>
      </w:r>
    </w:p>
    <w:p>
      <w:pPr>
        <w:pStyle w:val="Bullet"/>
      </w:pPr>
      <w:r>
        <w:t xml:space="preserve">•  CIT v. Podar Cement (P) Ltd., (1997) 5 SCC 482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https://fpr.iura.in/fictions/deemed-owner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